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Goudy Old Style" w:cs="Goudy Old Style" w:hAnsi="Goudy Old Style" w:eastAsia="Goudy Old Style"/>
          <w:sz w:val="44"/>
          <w:szCs w:val="44"/>
        </w:rPr>
      </w:pPr>
      <w:r>
        <w:rPr>
          <w:rFonts w:ascii="Goudy Old Style" w:hAnsi="Goudy Old Style"/>
          <w:sz w:val="44"/>
          <w:szCs w:val="44"/>
          <w:rtl w:val="0"/>
          <w:lang w:val="en-US"/>
        </w:rPr>
        <w:t>Coquille Oregon</w:t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  <w:r>
        <w:rPr>
          <w:rFonts w:ascii="Goudy Old Style" w:cs="Goudy Old Style" w:hAnsi="Goudy Old Style" w:eastAsia="Goudy Old Style"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914400</wp:posOffset>
            </wp:positionV>
            <wp:extent cx="5943600" cy="112928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james-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9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  <w:rtl w:val="0"/>
          <w:lang w:val="en-US"/>
        </w:rPr>
        <w:t>Online Adult Forum</w:t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  <w:rtl w:val="0"/>
          <w:lang w:val="en-US"/>
        </w:rPr>
        <w:t>Bishops and Elections</w:t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  <w:rtl w:val="0"/>
          <w:lang w:val="en-US"/>
        </w:rPr>
        <w:t>Summer, 2020</w:t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  <w:rtl w:val="0"/>
          <w:lang w:val="en-US"/>
        </w:rPr>
        <w:t>Week Three</w:t>
      </w:r>
    </w:p>
    <w:p>
      <w:pPr>
        <w:pStyle w:val="Body"/>
        <w:jc w:val="center"/>
        <w:rPr>
          <w:rFonts w:ascii="Goudy Old Style" w:cs="Goudy Old Style" w:hAnsi="Goudy Old Style" w:eastAsia="Goudy Old Style"/>
          <w:sz w:val="36"/>
          <w:szCs w:val="36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So do you actually do?</w:t>
      </w: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I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ve started to really enjoy telling people in the community that I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 xml:space="preserve">m a priest. People try to correct me and call me 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“</w:t>
      </w:r>
      <w:r>
        <w:rPr>
          <w:rFonts w:ascii="Goudy Old Style" w:hAnsi="Goudy Old Style"/>
          <w:sz w:val="32"/>
          <w:szCs w:val="32"/>
          <w:rtl w:val="0"/>
          <w:lang w:val="en-US"/>
        </w:rPr>
        <w:t>pastor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”</w:t>
      </w:r>
      <w:r>
        <w:rPr>
          <w:rFonts w:ascii="Goudy Old Style" w:hAnsi="Goudy Old Style"/>
          <w:sz w:val="32"/>
          <w:szCs w:val="32"/>
          <w:rtl w:val="0"/>
          <w:lang w:val="en-US"/>
        </w:rPr>
        <w:t>, but I correct them back: priest. Some of them ask me what it means to be a priest, or what the difference between a pastor and priest is. And I like this. It opens up some really awesome conversations.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You might be able to answer the question of 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“</w:t>
      </w:r>
      <w:r>
        <w:rPr>
          <w:rFonts w:ascii="Goudy Old Style" w:hAnsi="Goudy Old Style"/>
          <w:sz w:val="32"/>
          <w:szCs w:val="32"/>
          <w:rtl w:val="0"/>
          <w:lang w:val="en-US"/>
        </w:rPr>
        <w:t>what is a priest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 xml:space="preserve">” </w:t>
      </w:r>
      <w:r>
        <w:rPr>
          <w:rFonts w:ascii="Goudy Old Style" w:hAnsi="Goudy Old Style"/>
          <w:sz w:val="32"/>
          <w:szCs w:val="32"/>
          <w:rtl w:val="0"/>
          <w:lang w:val="en-US"/>
        </w:rPr>
        <w:t xml:space="preserve">or 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“</w:t>
      </w:r>
      <w:r>
        <w:rPr>
          <w:rFonts w:ascii="Goudy Old Style" w:hAnsi="Goudy Old Style"/>
          <w:sz w:val="32"/>
          <w:szCs w:val="32"/>
          <w:rtl w:val="0"/>
          <w:lang w:val="en-US"/>
        </w:rPr>
        <w:t>what does a priest do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 xml:space="preserve">” </w:t>
      </w:r>
      <w:r>
        <w:rPr>
          <w:rFonts w:ascii="Goudy Old Style" w:hAnsi="Goudy Old Style"/>
          <w:sz w:val="32"/>
          <w:szCs w:val="32"/>
          <w:rtl w:val="0"/>
          <w:lang w:val="en-US"/>
        </w:rPr>
        <w:t>yourself, but what about the same question for a bishop? What in the world do bishops do all day? Well, this week, we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ll be looking at just that!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Where</w:t>
      </w:r>
      <w:r>
        <w:rPr>
          <w:rFonts w:ascii="Goudy Old Style" w:hAnsi="Goudy Old Style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s the bishop</w:t>
      </w:r>
      <w:r>
        <w:rPr>
          <w:rFonts w:ascii="Goudy Old Style" w:hAnsi="Goudy Old Style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s job description?</w:t>
      </w: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The bishop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s job is described, well, kinda all over the place. As Father Tim mentioned in the Pew Chat for this week, the bishop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 xml:space="preserve">s job is described in our national Constitution and Canons, our diocesan Constitution and Canons, and the Book of Common Prayer. 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The 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“</w:t>
      </w:r>
      <w:r>
        <w:rPr>
          <w:rFonts w:ascii="Goudy Old Style" w:hAnsi="Goudy Old Style"/>
          <w:sz w:val="32"/>
          <w:szCs w:val="32"/>
          <w:rtl w:val="0"/>
          <w:lang w:val="en-US"/>
        </w:rPr>
        <w:t>job description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”</w:t>
      </w:r>
      <w:r>
        <w:rPr>
          <w:rFonts w:ascii="Goudy Old Style" w:hAnsi="Goudy Old Style"/>
          <w:sz w:val="32"/>
          <w:szCs w:val="32"/>
          <w:rtl w:val="0"/>
          <w:lang w:val="en-US"/>
        </w:rPr>
        <w:t xml:space="preserve">, or, really, the call to ministry, for a bishop is described on page 517-518 of the Book of Common Prayer. Take some time with these this week. Also, check out some of the prayers in the ordinal (or 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“</w:t>
      </w:r>
      <w:r>
        <w:rPr>
          <w:rFonts w:ascii="Goudy Old Style" w:hAnsi="Goudy Old Style"/>
          <w:sz w:val="32"/>
          <w:szCs w:val="32"/>
          <w:rtl w:val="0"/>
          <w:lang w:val="en-US"/>
        </w:rPr>
        <w:t>ordination rite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”</w:t>
      </w:r>
      <w:r>
        <w:rPr>
          <w:rFonts w:ascii="Goudy Old Style" w:hAnsi="Goudy Old Style"/>
          <w:sz w:val="32"/>
          <w:szCs w:val="32"/>
          <w:rtl w:val="0"/>
          <w:lang w:val="en-US"/>
        </w:rPr>
        <w:t>) for bishops beginning on page 512. Read some of those prayers out-loud, or even pray for some of those prayers. Look especially at the consecration beginning on page 520.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Pew Chats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Our third week of Pew Chats is up. Click on the following link to see it!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https://www.youtube.com/watch?v=bVlw9EP99eQ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Pray</w:t>
      </w: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Try saying Compline this week. Compline is a wonderful prayer for the end of the day. In Compline, we put everything we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ve done that day at God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s feet and ask God to help us rest well that night. The service begins on page 127 of the Book of Common Prayer.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Actually, Compline has become a really popular service during the COVID pandemic. Father Bernie, and his wife Paige, at St. Timothy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s in Brookings often pray Compline online throughout the week. If you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d like to join them, follow this link to their Facebook page: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https://www.facebook.com/St-Timothys-Episcopal-Church-294736743877069/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Read from the Bible</w:t>
      </w: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The particular work of a bishop has developed since biblical times, and so there isn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t much in the Bible that describes, y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know, how a bishop should use the internet or run board meetings. This week, spend some time with the passages that can be used during the ordination of a bishop. We</w:t>
      </w:r>
      <w:r>
        <w:rPr>
          <w:rFonts w:ascii="Goudy Old Style" w:hAnsi="Goudy Old Style" w:hint="default"/>
          <w:sz w:val="32"/>
          <w:szCs w:val="32"/>
          <w:rtl w:val="0"/>
          <w:lang w:val="en-US"/>
        </w:rPr>
        <w:t>’</w:t>
      </w:r>
      <w:r>
        <w:rPr>
          <w:rFonts w:ascii="Goudy Old Style" w:hAnsi="Goudy Old Style"/>
          <w:sz w:val="32"/>
          <w:szCs w:val="32"/>
          <w:rtl w:val="0"/>
          <w:lang w:val="en-US"/>
        </w:rPr>
        <w:t>ve looked at some of these over the past weeks, but it is good to look at them again.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The Old Testament: Isaiah 61:1-8, Isaiah 42:1-9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Psalm: 99, 40:1-14, 100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Epistle: Hebrews 5:1-10, 1 Timothy 3:1-7, 2 Corinthians 3:4-9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>Gospel: John 20:19-23, John 17:1-9, 18-21, Luke 24:44-49a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b w:val="1"/>
          <w:bCs w:val="1"/>
          <w:sz w:val="32"/>
          <w:szCs w:val="32"/>
        </w:rPr>
      </w:pPr>
      <w:r>
        <w:rPr>
          <w:rFonts w:ascii="Goudy Old Style" w:hAnsi="Goudy Old Style"/>
          <w:b w:val="1"/>
          <w:bCs w:val="1"/>
          <w:sz w:val="32"/>
          <w:szCs w:val="32"/>
          <w:rtl w:val="0"/>
          <w:lang w:val="en-US"/>
        </w:rPr>
        <w:t>Reflections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Father Tim has used a few Taize chants before, and here are some of them (and a few more!). </w:t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Bless the Lord: </w: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begin" w:fldLock="0"/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instrText xml:space="preserve"> HYPERLINK "https://www.youtube.com/watch?v=t4Svh-9ohg4&amp;t=17s"</w:instrTex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separate" w:fldLock="0"/>
      </w:r>
      <w:r>
        <w:rPr>
          <w:rStyle w:val="Hyperlink.0"/>
          <w:rFonts w:ascii="Goudy Old Style" w:hAnsi="Goudy Old Style"/>
          <w:sz w:val="32"/>
          <w:szCs w:val="32"/>
          <w:rtl w:val="0"/>
          <w:lang w:val="en-US"/>
        </w:rPr>
        <w:t>https://www.youtube.com/watch?v=t4Svh-9ohg4&amp;t=17s</w:t>
      </w:r>
      <w:r>
        <w:rPr>
          <w:rFonts w:ascii="Goudy Old Style" w:cs="Goudy Old Style" w:hAnsi="Goudy Old Style" w:eastAsia="Goudy Old Style"/>
          <w:sz w:val="32"/>
          <w:szCs w:val="32"/>
        </w:rPr>
        <w:fldChar w:fldCharType="end" w:fldLock="0"/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Adoramus Te: </w: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begin" w:fldLock="0"/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instrText xml:space="preserve"> HYPERLINK "https://www.youtube.com/watch?v=pm6Zr3EqIhE"</w:instrTex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separate" w:fldLock="0"/>
      </w:r>
      <w:r>
        <w:rPr>
          <w:rStyle w:val="Hyperlink.0"/>
          <w:rFonts w:ascii="Goudy Old Style" w:hAnsi="Goudy Old Style"/>
          <w:sz w:val="32"/>
          <w:szCs w:val="32"/>
          <w:rtl w:val="0"/>
          <w:lang w:val="en-US"/>
        </w:rPr>
        <w:t>https://www.youtube.com/watch?v=pm6Zr3EqIhE</w:t>
      </w:r>
      <w:r>
        <w:rPr>
          <w:rFonts w:ascii="Goudy Old Style" w:cs="Goudy Old Style" w:hAnsi="Goudy Old Style" w:eastAsia="Goudy Old Style"/>
          <w:sz w:val="32"/>
          <w:szCs w:val="32"/>
        </w:rPr>
        <w:fldChar w:fldCharType="end" w:fldLock="0"/>
      </w:r>
    </w:p>
    <w:p>
      <w:pPr>
        <w:pStyle w:val="Body"/>
        <w:jc w:val="left"/>
        <w:rPr>
          <w:rFonts w:ascii="Goudy Old Style" w:cs="Goudy Old Style" w:hAnsi="Goudy Old Style" w:eastAsia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Vene Sancti Spiritu: </w: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begin" w:fldLock="0"/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instrText xml:space="preserve"> HYPERLINK "https://www.youtube.com/watch?v=WmxXwAgkhWQ"</w:instrText>
      </w:r>
      <w:r>
        <w:rPr>
          <w:rStyle w:val="Hyperlink.0"/>
          <w:rFonts w:ascii="Goudy Old Style" w:cs="Goudy Old Style" w:hAnsi="Goudy Old Style" w:eastAsia="Goudy Old Style"/>
          <w:sz w:val="32"/>
          <w:szCs w:val="32"/>
        </w:rPr>
        <w:fldChar w:fldCharType="separate" w:fldLock="0"/>
      </w:r>
      <w:r>
        <w:rPr>
          <w:rStyle w:val="Hyperlink.0"/>
          <w:rFonts w:ascii="Goudy Old Style" w:hAnsi="Goudy Old Style"/>
          <w:sz w:val="32"/>
          <w:szCs w:val="32"/>
          <w:rtl w:val="0"/>
          <w:lang w:val="en-US"/>
        </w:rPr>
        <w:t>https://www.youtube.com/watch?v=WmxXwAgkhWQ</w:t>
      </w:r>
      <w:r>
        <w:rPr>
          <w:rFonts w:ascii="Goudy Old Style" w:cs="Goudy Old Style" w:hAnsi="Goudy Old Style" w:eastAsia="Goudy Old Style"/>
          <w:sz w:val="32"/>
          <w:szCs w:val="32"/>
        </w:rPr>
        <w:fldChar w:fldCharType="end" w:fldLock="0"/>
      </w:r>
    </w:p>
    <w:p>
      <w:pPr>
        <w:pStyle w:val="Body"/>
        <w:jc w:val="left"/>
      </w:pPr>
      <w:r>
        <w:rPr>
          <w:rFonts w:ascii="Goudy Old Style" w:hAnsi="Goudy Old Style"/>
          <w:sz w:val="32"/>
          <w:szCs w:val="32"/>
          <w:rtl w:val="0"/>
          <w:lang w:val="en-US"/>
        </w:rPr>
        <w:t xml:space="preserve">Nada te turbe: </w:t>
      </w:r>
      <w:r>
        <w:rPr>
          <w:rFonts w:ascii="Goudy Old Style" w:hAnsi="Goudy Old Style"/>
          <w:sz w:val="32"/>
          <w:szCs w:val="32"/>
          <w:rtl w:val="0"/>
          <w:lang w:val="en-US"/>
        </w:rPr>
        <w:t>https://www.youtube.com/watch?v=go1-BoDD7CI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oudy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